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科室：妇女保健科</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更年期保健</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月经病</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青春期保健</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产后复查及盆底康复</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中医保健</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心理保健</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婚前保健</w:t>
            </w:r>
          </w:p>
          <w:p>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慢性盆腔痛与性功能障碍</w:t>
            </w:r>
          </w:p>
          <w:p>
            <w:pPr>
              <w:rPr>
                <w:rFonts w:hint="default"/>
                <w:vertAlign w:val="baseline"/>
                <w:lang w:val="en-US" w:eastAsia="zh-CN"/>
              </w:rPr>
            </w:pPr>
            <w:r>
              <w:rPr>
                <w:rFonts w:hint="eastAsia" w:ascii="仿宋_GB2312" w:hAnsi="仿宋_GB2312" w:eastAsia="仿宋_GB2312" w:cs="仿宋_GB2312"/>
                <w:color w:val="auto"/>
                <w:sz w:val="32"/>
                <w:szCs w:val="32"/>
                <w:highlight w:val="none"/>
                <w:lang w:val="en-US" w:eastAsia="zh-CN"/>
              </w:rPr>
              <w:t>外阴白斑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eastAsia"/>
                <w:vertAlign w:val="baseline"/>
                <w:lang w:val="en-US" w:eastAsia="zh-CN"/>
              </w:rPr>
              <w:t>无特殊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pStyle w:val="3"/>
              <w:keepNext w:val="0"/>
              <w:keepLines w:val="0"/>
              <w:widowControl/>
              <w:suppressLineNumbers w:val="0"/>
              <w:spacing w:before="0" w:beforeAutospacing="0" w:after="0" w:afterAutospacing="0"/>
              <w:ind w:right="0" w:firstLine="640" w:firstLineChars="20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1.学科建设情况：</w:t>
            </w:r>
            <w:r>
              <w:rPr>
                <w:rFonts w:hint="eastAsia" w:ascii="仿宋_GB2312" w:hAnsi="仿宋_GB2312" w:eastAsia="仿宋_GB2312" w:cs="仿宋_GB2312"/>
                <w:color w:val="auto"/>
                <w:sz w:val="32"/>
                <w:szCs w:val="32"/>
                <w:highlight w:val="none"/>
              </w:rPr>
              <w:t>四川省妇幼保健院</w:t>
            </w:r>
            <w:r>
              <w:rPr>
                <w:rFonts w:hint="eastAsia" w:ascii="仿宋_GB2312" w:hAnsi="仿宋_GB2312" w:eastAsia="仿宋_GB2312" w:cs="仿宋_GB2312"/>
                <w:color w:val="auto"/>
                <w:sz w:val="32"/>
                <w:szCs w:val="32"/>
                <w:highlight w:val="none"/>
                <w:lang w:val="en-US" w:eastAsia="zh-CN"/>
              </w:rPr>
              <w:t>妇女保健</w:t>
            </w:r>
            <w:r>
              <w:rPr>
                <w:rFonts w:hint="eastAsia" w:ascii="仿宋_GB2312" w:hAnsi="仿宋_GB2312" w:eastAsia="仿宋_GB2312" w:cs="仿宋_GB2312"/>
                <w:color w:val="auto"/>
                <w:sz w:val="32"/>
                <w:szCs w:val="32"/>
                <w:highlight w:val="none"/>
              </w:rPr>
              <w:t>科始建于1998年</w:t>
            </w:r>
            <w:r>
              <w:rPr>
                <w:rFonts w:hint="eastAsia" w:ascii="仿宋_GB2312" w:hAnsi="仿宋_GB2312" w:eastAsia="仿宋_GB2312" w:cs="仿宋_GB2312"/>
                <w:color w:val="auto"/>
                <w:sz w:val="32"/>
                <w:szCs w:val="32"/>
                <w:highlight w:val="none"/>
                <w:lang w:val="en-US" w:eastAsia="zh-CN"/>
              </w:rPr>
              <w:t>4月</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科室设置有更年期保健、月经病、青春期保健、产后复查及盆底康复、中医保健、心理保健、婚前保健、慢性盆腔痛与性功能障碍、外阴白斑等亚专业。科室是</w:t>
            </w:r>
            <w:r>
              <w:rPr>
                <w:rFonts w:hint="eastAsia" w:ascii="仿宋_GB2312" w:hAnsi="仿宋_GB2312" w:eastAsia="仿宋_GB2312" w:cs="仿宋_GB2312"/>
                <w:b w:val="0"/>
                <w:bCs w:val="0"/>
                <w:color w:val="auto"/>
                <w:sz w:val="32"/>
                <w:szCs w:val="32"/>
                <w:lang w:val="en-US" w:eastAsia="zh-CN"/>
              </w:rPr>
              <w:t>国家级更年期保健特色专科、国家级婚前保健特色专科、中国妇幼保健协会妇科内分泌质量控制项目单位、中国妇幼保健协会月经专病门诊规范化管理与建设项目单位、中国妇幼保健协会月经专病门诊规范化管理与建设项目区域指导单位、中国妇幼保健协会妇女保健专科能力建设西南区域培训基地、中国妇幼保健协会盆底康复培训示范基地、中国妇幼保健协会孕产妇心理保健技术规范化培训项目单位。</w:t>
            </w:r>
          </w:p>
          <w:p>
            <w:pPr>
              <w:ind w:firstLine="320" w:firstLineChars="1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2.科室人员情况：现有员工15名， 包括医生6人，治疗师5人，主管护师3人，医助1人。其中正高级职称1人，副高级职称1人；中级职称4人；医学硕士6人。</w:t>
            </w:r>
          </w:p>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pStyle w:val="7"/>
              <w:numPr>
                <w:ilvl w:val="0"/>
                <w:numId w:val="0"/>
              </w:numPr>
              <w:ind w:right="-120" w:rightChars="0" w:firstLine="320" w:firstLineChars="100"/>
              <w:jc w:val="both"/>
              <w:rPr>
                <w:rFonts w:hint="eastAsia" w:ascii="仿宋_GB2312" w:hAnsi="仿宋_GB2312" w:eastAsia="仿宋_GB2312" w:cs="仿宋_GB2312"/>
                <w:color w:val="auto"/>
                <w:kern w:val="2"/>
                <w:sz w:val="32"/>
                <w:szCs w:val="32"/>
                <w:highlight w:val="none"/>
                <w:lang w:val="en-US" w:eastAsia="zh-CN" w:bidi="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2"/>
                <w:highlight w:val="none"/>
              </w:rPr>
              <w:t>四川省妇幼保健院</w:t>
            </w:r>
            <w:r>
              <w:rPr>
                <w:rFonts w:hint="eastAsia" w:ascii="仿宋_GB2312" w:hAnsi="仿宋_GB2312" w:eastAsia="仿宋_GB2312" w:cs="仿宋_GB2312"/>
                <w:color w:val="auto"/>
                <w:sz w:val="32"/>
                <w:szCs w:val="32"/>
                <w:highlight w:val="none"/>
                <w:lang w:val="en-US" w:eastAsia="zh-CN"/>
              </w:rPr>
              <w:t>妇女保健</w:t>
            </w:r>
            <w:r>
              <w:rPr>
                <w:rFonts w:hint="eastAsia" w:ascii="仿宋_GB2312" w:hAnsi="仿宋_GB2312" w:eastAsia="仿宋_GB2312" w:cs="仿宋_GB2312"/>
                <w:color w:val="auto"/>
                <w:sz w:val="32"/>
                <w:szCs w:val="32"/>
                <w:highlight w:val="none"/>
              </w:rPr>
              <w:t>科</w:t>
            </w:r>
            <w:r>
              <w:rPr>
                <w:rFonts w:hint="eastAsia" w:ascii="仿宋_GB2312" w:hAnsi="仿宋_GB2312" w:eastAsia="仿宋_GB2312" w:cs="仿宋_GB2312"/>
                <w:color w:val="auto"/>
                <w:sz w:val="32"/>
                <w:szCs w:val="32"/>
                <w:highlight w:val="none"/>
                <w:lang w:val="en-US" w:eastAsia="zh-CN"/>
              </w:rPr>
              <w:t>将临床与保健紧密结合，</w:t>
            </w:r>
            <w:r>
              <w:rPr>
                <w:rFonts w:hint="eastAsia" w:ascii="仿宋_GB2312" w:hAnsi="仿宋_GB2312" w:eastAsia="仿宋_GB2312" w:cs="仿宋_GB2312"/>
                <w:color w:val="auto"/>
                <w:sz w:val="32"/>
                <w:szCs w:val="32"/>
                <w:highlight w:val="none"/>
              </w:rPr>
              <w:t>对女性</w:t>
            </w:r>
            <w:r>
              <w:rPr>
                <w:rFonts w:hint="eastAsia" w:ascii="仿宋_GB2312" w:hAnsi="仿宋_GB2312" w:eastAsia="仿宋_GB2312" w:cs="仿宋_GB2312"/>
                <w:color w:val="auto"/>
                <w:sz w:val="32"/>
                <w:szCs w:val="32"/>
                <w:highlight w:val="none"/>
                <w:lang w:val="en-US" w:eastAsia="zh-CN"/>
              </w:rPr>
              <w:t>提供</w:t>
            </w:r>
            <w:r>
              <w:rPr>
                <w:rFonts w:hint="eastAsia" w:ascii="仿宋_GB2312" w:hAnsi="仿宋_GB2312" w:eastAsia="仿宋_GB2312" w:cs="仿宋_GB2312"/>
                <w:color w:val="auto"/>
                <w:sz w:val="32"/>
                <w:szCs w:val="32"/>
                <w:highlight w:val="none"/>
              </w:rPr>
              <w:t>全生命周期</w:t>
            </w:r>
            <w:r>
              <w:rPr>
                <w:rFonts w:hint="eastAsia" w:ascii="仿宋_GB2312" w:hAnsi="仿宋_GB2312" w:eastAsia="仿宋_GB2312" w:cs="仿宋_GB2312"/>
                <w:color w:val="auto"/>
                <w:sz w:val="32"/>
                <w:szCs w:val="32"/>
                <w:highlight w:val="none"/>
                <w:lang w:val="en-US" w:eastAsia="zh-CN"/>
              </w:rPr>
              <w:t>全方位的临床保健服务，设有以下亚专业：</w:t>
            </w:r>
          </w:p>
          <w:p>
            <w:pPr>
              <w:numPr>
                <w:ilvl w:val="0"/>
                <w:numId w:val="1"/>
              </w:numPr>
              <w:snapToGrid w:val="0"/>
              <w:spacing w:before="0" w:beforeAutospacing="0" w:after="200" w:afterAutospacing="0" w:line="360" w:lineRule="auto"/>
              <w:ind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妇科内分泌（月经病）门诊：针对</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青春期月经失调、</w:t>
            </w:r>
            <w:r>
              <w:rPr>
                <w:rFonts w:hint="eastAsia" w:ascii="仿宋_GB2312" w:hAnsi="仿宋_GB2312" w:eastAsia="仿宋_GB2312" w:cs="仿宋_GB2312"/>
                <w:i w:val="0"/>
                <w:iCs w:val="0"/>
                <w:caps w:val="0"/>
                <w:color w:val="auto"/>
                <w:spacing w:val="0"/>
                <w:sz w:val="32"/>
                <w:szCs w:val="32"/>
                <w:highlight w:val="none"/>
                <w:shd w:val="clear" w:color="auto" w:fill="auto"/>
              </w:rPr>
              <w:t>多囊卵巢综合征、</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异常子宫出血、</w:t>
            </w:r>
            <w:r>
              <w:rPr>
                <w:rFonts w:hint="eastAsia" w:ascii="仿宋_GB2312" w:hAnsi="仿宋_GB2312" w:eastAsia="仿宋_GB2312" w:cs="仿宋_GB2312"/>
                <w:i w:val="0"/>
                <w:iCs w:val="0"/>
                <w:caps w:val="0"/>
                <w:color w:val="auto"/>
                <w:spacing w:val="0"/>
                <w:sz w:val="32"/>
                <w:szCs w:val="32"/>
                <w:highlight w:val="none"/>
                <w:shd w:val="clear" w:color="auto" w:fill="auto"/>
              </w:rPr>
              <w:t>卵巢早衰</w:t>
            </w:r>
            <w:r>
              <w:rPr>
                <w:rFonts w:hint="eastAsia" w:ascii="仿宋_GB2312" w:hAnsi="仿宋_GB2312" w:eastAsia="仿宋_GB2312" w:cs="仿宋_GB2312"/>
                <w:i w:val="0"/>
                <w:iCs w:val="0"/>
                <w:caps w:val="0"/>
                <w:color w:val="auto"/>
                <w:spacing w:val="0"/>
                <w:sz w:val="32"/>
                <w:szCs w:val="32"/>
                <w:highlight w:val="none"/>
                <w:shd w:val="clear" w:color="auto" w:fill="auto"/>
                <w:lang w:eastAsia="zh-CN"/>
              </w:rPr>
              <w:t>、</w:t>
            </w:r>
            <w:r>
              <w:rPr>
                <w:rFonts w:hint="eastAsia" w:ascii="仿宋_GB2312" w:hAnsi="仿宋_GB2312" w:eastAsia="仿宋_GB2312" w:cs="仿宋_GB2312"/>
                <w:i w:val="0"/>
                <w:iCs w:val="0"/>
                <w:caps w:val="0"/>
                <w:color w:val="auto"/>
                <w:spacing w:val="0"/>
                <w:sz w:val="32"/>
                <w:szCs w:val="32"/>
                <w:highlight w:val="none"/>
                <w:shd w:val="clear" w:color="auto" w:fill="auto"/>
                <w:lang w:val="en-US" w:eastAsia="zh-CN"/>
              </w:rPr>
              <w:t>高泌乳素血症、痛经</w:t>
            </w:r>
            <w:r>
              <w:rPr>
                <w:rFonts w:hint="eastAsia" w:ascii="仿宋_GB2312" w:hAnsi="仿宋_GB2312" w:eastAsia="仿宋_GB2312" w:cs="仿宋_GB2312"/>
                <w:i w:val="0"/>
                <w:iCs w:val="0"/>
                <w:caps w:val="0"/>
                <w:color w:val="auto"/>
                <w:spacing w:val="0"/>
                <w:sz w:val="32"/>
                <w:szCs w:val="32"/>
                <w:highlight w:val="none"/>
                <w:shd w:val="clear"/>
                <w:lang w:val="en-US" w:eastAsia="zh-CN"/>
              </w:rPr>
              <w:t>、闭经、性分化与发育异常</w:t>
            </w:r>
            <w:r>
              <w:rPr>
                <w:rFonts w:hint="eastAsia" w:ascii="仿宋_GB2312" w:hAnsi="仿宋_GB2312" w:eastAsia="仿宋_GB2312" w:cs="仿宋_GB2312"/>
                <w:i w:val="0"/>
                <w:iCs w:val="0"/>
                <w:caps w:val="0"/>
                <w:color w:val="auto"/>
                <w:spacing w:val="0"/>
                <w:sz w:val="32"/>
                <w:szCs w:val="32"/>
                <w:highlight w:val="none"/>
                <w:shd w:val="clear" w:color="auto" w:fill="auto"/>
              </w:rPr>
              <w:t>等妇科内分泌疾病</w:t>
            </w:r>
            <w:r>
              <w:rPr>
                <w:rFonts w:hint="eastAsia" w:ascii="仿宋_GB2312" w:hAnsi="仿宋_GB2312" w:eastAsia="仿宋_GB2312" w:cs="仿宋_GB2312"/>
                <w:i w:val="0"/>
                <w:iCs w:val="0"/>
                <w:caps w:val="0"/>
                <w:color w:val="auto"/>
                <w:spacing w:val="0"/>
                <w:sz w:val="32"/>
                <w:szCs w:val="32"/>
                <w:highlight w:val="none"/>
                <w:shd w:val="clear"/>
                <w:lang w:eastAsia="zh-CN"/>
              </w:rPr>
              <w:t>，</w:t>
            </w:r>
            <w:r>
              <w:rPr>
                <w:rFonts w:hint="eastAsia" w:ascii="仿宋_GB2312" w:hAnsi="仿宋_GB2312" w:eastAsia="仿宋_GB2312" w:cs="仿宋_GB2312"/>
                <w:i w:val="0"/>
                <w:iCs w:val="0"/>
                <w:caps w:val="0"/>
                <w:color w:val="auto"/>
                <w:spacing w:val="0"/>
                <w:sz w:val="32"/>
                <w:szCs w:val="32"/>
                <w:highlight w:val="none"/>
                <w:shd w:val="clear"/>
                <w:lang w:val="en-US" w:eastAsia="zh-CN"/>
              </w:rPr>
              <w:t>进行规范诊治和长期管理。</w:t>
            </w:r>
          </w:p>
          <w:p>
            <w:pPr>
              <w:snapToGrid w:val="0"/>
              <w:spacing w:before="0" w:beforeAutospacing="0" w:after="200" w:afterAutospacing="0" w:line="360" w:lineRule="auto"/>
              <w:ind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青春期保健门诊：开设有青春期相关健康教育，不定期进校园开展健康讲座，针对青春期女性的生理、心理、社会特点以及健康行为方面的问题给予指导，对青春期女性常出现的月经异常、意外妊娠等生殖健康问题等开展咨询和治疗，为青春期女性提供全方位的保健服务。</w:t>
            </w:r>
          </w:p>
          <w:p>
            <w:pPr>
              <w:numPr>
                <w:ilvl w:val="-1"/>
                <w:numId w:val="0"/>
              </w:numPr>
              <w:snapToGrid w:val="0"/>
              <w:spacing w:before="0" w:beforeAutospacing="0" w:after="200" w:afterAutospacing="0" w:line="360" w:lineRule="auto"/>
              <w:ind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三）产后保健门诊：针对产后42天的产妇进行全身脏器包括盆底功能、腹直肌分离、耻骨联合分离、体态等的恢复情况进行全面检查、评估和治疗；对产后及任何年龄段女性的盆底功能障碍疾病如漏尿、尿频、器官脱垂、阴道松弛、慢性盆腔疼痛、性生活障碍等提供全面专业的筛查，并给予个性化的治疗方案，业务技术处于全省领先地位。  </w:t>
            </w:r>
          </w:p>
          <w:p>
            <w:pPr>
              <w:numPr>
                <w:ilvl w:val="-1"/>
                <w:numId w:val="0"/>
              </w:numPr>
              <w:snapToGrid w:val="0"/>
              <w:spacing w:before="0" w:beforeAutospacing="0" w:after="200" w:afterAutospacing="0" w:line="360" w:lineRule="auto"/>
              <w:ind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更年期门诊：针对更年期女性开展健康保健和更年期综合征治疗，联合内科、乳腺外科、妇科、营养科、药学部、中医科等常年开展健康教育讲座，包括更年期营养、运动、情绪管理及常见疾病预防等内容。</w:t>
            </w:r>
          </w:p>
          <w:p>
            <w:pPr>
              <w:pStyle w:val="7"/>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（五）心理保健门诊：对孕期、产后及更年期女性的心理健康相关情绪及心身疾病，开展心理评估及相关心理治疗、药物治疗等，包块团体心理辅导，提高女性心理健康水平。</w:t>
            </w:r>
          </w:p>
          <w:p>
            <w:pPr>
              <w:ind w:firstLine="64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（六）婚前保健门诊：对适龄青年开展婚前检查、婚前咨询及指导。</w:t>
            </w:r>
          </w:p>
          <w:p>
            <w:pPr>
              <w:keepNext w:val="0"/>
              <w:keepLines w:val="0"/>
              <w:widowControl/>
              <w:numPr>
                <w:ilvl w:val="0"/>
                <w:numId w:val="0"/>
              </w:numPr>
              <w:suppressLineNumbers w:val="0"/>
              <w:spacing w:before="0" w:beforeAutospacing="1" w:after="0" w:afterAutospacing="1"/>
              <w:ind w:firstLine="320" w:firstLineChars="100"/>
              <w:jc w:val="left"/>
              <w:rPr>
                <w:rFonts w:hint="default"/>
                <w:vertAlign w:val="baseline"/>
                <w:lang w:val="en-US" w:eastAsia="zh-CN"/>
              </w:rPr>
            </w:pPr>
            <w:r>
              <w:rPr>
                <w:rFonts w:hint="eastAsia" w:ascii="仿宋_GB2312" w:hAnsi="仿宋_GB2312" w:eastAsia="仿宋_GB2312" w:cs="仿宋_GB2312"/>
                <w:b w:val="0"/>
                <w:bCs w:val="0"/>
                <w:color w:val="auto"/>
                <w:sz w:val="32"/>
                <w:szCs w:val="32"/>
                <w:lang w:val="en-US" w:eastAsia="zh-CN"/>
              </w:rPr>
              <w:t>2.配置设备情况：</w:t>
            </w:r>
            <w:r>
              <w:rPr>
                <w:rFonts w:hint="eastAsia" w:ascii="仿宋_GB2312" w:hAnsi="仿宋_GB2312" w:eastAsia="仿宋_GB2312" w:cs="仿宋_GB2312"/>
                <w:color w:val="auto"/>
                <w:sz w:val="32"/>
                <w:szCs w:val="32"/>
                <w:highlight w:val="none"/>
                <w:lang w:val="en-US" w:eastAsia="zh-CN"/>
              </w:rPr>
              <w:t>盆底肌电评估仪、腰背肌电评估仪、</w:t>
            </w:r>
            <w:r>
              <w:rPr>
                <w:rFonts w:hint="default" w:ascii="仿宋_GB2312" w:hAnsi="仿宋_GB2312" w:eastAsia="仿宋_GB2312" w:cs="仿宋_GB2312"/>
                <w:color w:val="auto"/>
                <w:sz w:val="32"/>
                <w:szCs w:val="32"/>
                <w:highlight w:val="none"/>
                <w:lang w:val="en-US" w:eastAsia="zh-CN"/>
              </w:rPr>
              <w:t>盆底磁刺激治疗仪</w:t>
            </w:r>
            <w:r>
              <w:rPr>
                <w:rFonts w:hint="eastAsia" w:ascii="仿宋_GB2312" w:hAnsi="仿宋_GB2312" w:eastAsia="仿宋_GB2312" w:cs="仿宋_GB2312"/>
                <w:color w:val="auto"/>
                <w:sz w:val="32"/>
                <w:szCs w:val="32"/>
                <w:highlight w:val="none"/>
                <w:lang w:val="en-US" w:eastAsia="zh-CN"/>
              </w:rPr>
              <w:t>、腹直肌电刺激治疗仪、经颅磁治疗仪、盆底生物反馈</w:t>
            </w:r>
            <w:r>
              <w:rPr>
                <w:rFonts w:hint="default" w:ascii="仿宋_GB2312" w:hAnsi="仿宋_GB2312" w:eastAsia="仿宋_GB2312" w:cs="仿宋_GB2312"/>
                <w:color w:val="auto"/>
                <w:sz w:val="32"/>
                <w:szCs w:val="32"/>
                <w:highlight w:val="none"/>
                <w:lang w:val="en-US" w:eastAsia="zh-CN"/>
              </w:rPr>
              <w:t>电刺激治疗仪</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妊娠纹、外阴及阴道壁点阵激光治疗仪</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人体成分分析仪</w:t>
            </w:r>
            <w:r>
              <w:rPr>
                <w:rFonts w:hint="eastAsia" w:ascii="仿宋_GB2312" w:hAnsi="仿宋_GB2312" w:eastAsia="仿宋_GB2312" w:cs="仿宋_GB2312"/>
                <w:color w:val="auto"/>
                <w:sz w:val="32"/>
                <w:szCs w:val="32"/>
                <w:highlight w:val="none"/>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pStyle w:val="7"/>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1.科研情况：</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科室</w:t>
            </w:r>
            <w:r>
              <w:rPr>
                <w:rFonts w:hint="eastAsia" w:ascii="仿宋_GB2312" w:hAnsi="仿宋_GB2312" w:eastAsia="仿宋_GB2312" w:cs="仿宋_GB2312"/>
                <w:b w:val="0"/>
                <w:i w:val="0"/>
                <w:caps w:val="0"/>
                <w:color w:val="auto"/>
                <w:spacing w:val="0"/>
                <w:sz w:val="32"/>
                <w:szCs w:val="32"/>
                <w:highlight w:val="none"/>
                <w:shd w:val="clear"/>
                <w:lang w:val="en-US" w:eastAsia="zh-CN"/>
              </w:rPr>
              <w:t>团队</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有较强科研能力，参与</w:t>
            </w:r>
            <w:r>
              <w:rPr>
                <w:rFonts w:hint="eastAsia" w:ascii="仿宋_GB2312" w:hAnsi="仿宋_GB2312" w:eastAsia="仿宋_GB2312" w:cs="仿宋_GB2312"/>
                <w:b w:val="0"/>
                <w:i w:val="0"/>
                <w:caps w:val="0"/>
                <w:color w:val="auto"/>
                <w:spacing w:val="0"/>
                <w:sz w:val="32"/>
                <w:szCs w:val="32"/>
                <w:highlight w:val="none"/>
                <w:shd w:val="clear" w:fill="auto"/>
              </w:rPr>
              <w:t>国家自然科学基金项目1项、省部级科研课题近</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二十</w:t>
            </w:r>
            <w:r>
              <w:rPr>
                <w:rFonts w:hint="eastAsia" w:ascii="仿宋_GB2312" w:hAnsi="仿宋_GB2312" w:eastAsia="仿宋_GB2312" w:cs="仿宋_GB2312"/>
                <w:b w:val="0"/>
                <w:i w:val="0"/>
                <w:caps w:val="0"/>
                <w:color w:val="auto"/>
                <w:spacing w:val="0"/>
                <w:sz w:val="32"/>
                <w:szCs w:val="32"/>
                <w:highlight w:val="none"/>
                <w:shd w:val="clear" w:fill="auto"/>
              </w:rPr>
              <w:t>项等，累计到</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院</w:t>
            </w:r>
            <w:r>
              <w:rPr>
                <w:rFonts w:hint="eastAsia" w:ascii="仿宋_GB2312" w:hAnsi="仿宋_GB2312" w:eastAsia="仿宋_GB2312" w:cs="仿宋_GB2312"/>
                <w:b w:val="0"/>
                <w:i w:val="0"/>
                <w:caps w:val="0"/>
                <w:color w:val="auto"/>
                <w:spacing w:val="0"/>
                <w:sz w:val="32"/>
                <w:szCs w:val="32"/>
                <w:highlight w:val="none"/>
                <w:shd w:val="clear" w:fill="auto"/>
              </w:rPr>
              <w:t>科研经费</w:t>
            </w:r>
            <w:r>
              <w:rPr>
                <w:rFonts w:hint="eastAsia" w:ascii="仿宋_GB2312" w:hAnsi="仿宋_GB2312" w:eastAsia="仿宋_GB2312" w:cs="仿宋_GB2312"/>
                <w:b w:val="0"/>
                <w:i w:val="0"/>
                <w:caps w:val="0"/>
                <w:color w:val="auto"/>
                <w:spacing w:val="0"/>
                <w:sz w:val="32"/>
                <w:szCs w:val="32"/>
                <w:highlight w:val="none"/>
                <w:shd w:val="clear"/>
                <w:lang w:val="en-US" w:eastAsia="zh-CN"/>
              </w:rPr>
              <w:t>五十</w:t>
            </w:r>
            <w:r>
              <w:rPr>
                <w:rFonts w:hint="eastAsia" w:ascii="仿宋_GB2312" w:hAnsi="仿宋_GB2312" w:eastAsia="仿宋_GB2312" w:cs="仿宋_GB2312"/>
                <w:b w:val="0"/>
                <w:i w:val="0"/>
                <w:caps w:val="0"/>
                <w:color w:val="auto"/>
                <w:spacing w:val="0"/>
                <w:sz w:val="32"/>
                <w:szCs w:val="32"/>
                <w:highlight w:val="none"/>
                <w:shd w:val="clear" w:fill="auto"/>
              </w:rPr>
              <w:t>余万元。在国内外</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核心期刊</w:t>
            </w:r>
            <w:r>
              <w:rPr>
                <w:rFonts w:hint="eastAsia" w:ascii="仿宋_GB2312" w:hAnsi="仿宋_GB2312" w:eastAsia="仿宋_GB2312" w:cs="仿宋_GB2312"/>
                <w:b w:val="0"/>
                <w:i w:val="0"/>
                <w:caps w:val="0"/>
                <w:color w:val="auto"/>
                <w:spacing w:val="0"/>
                <w:sz w:val="32"/>
                <w:szCs w:val="32"/>
                <w:highlight w:val="none"/>
                <w:shd w:val="clear" w:fill="auto"/>
              </w:rPr>
              <w:t>已发表学术论文</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30</w:t>
            </w:r>
            <w:r>
              <w:rPr>
                <w:rFonts w:hint="eastAsia" w:ascii="仿宋_GB2312" w:hAnsi="仿宋_GB2312" w:eastAsia="仿宋_GB2312" w:cs="仿宋_GB2312"/>
                <w:b w:val="0"/>
                <w:i w:val="0"/>
                <w:caps w:val="0"/>
                <w:color w:val="auto"/>
                <w:spacing w:val="0"/>
                <w:sz w:val="32"/>
                <w:szCs w:val="32"/>
                <w:highlight w:val="none"/>
                <w:shd w:val="clear" w:fill="auto"/>
              </w:rPr>
              <w:t>余篇，其中在SCI论文</w:t>
            </w:r>
            <w:r>
              <w:rPr>
                <w:rFonts w:hint="eastAsia" w:ascii="仿宋_GB2312" w:hAnsi="仿宋_GB2312" w:eastAsia="仿宋_GB2312" w:cs="仿宋_GB2312"/>
                <w:b w:val="0"/>
                <w:i w:val="0"/>
                <w:caps w:val="0"/>
                <w:color w:val="auto"/>
                <w:spacing w:val="0"/>
                <w:sz w:val="32"/>
                <w:szCs w:val="32"/>
                <w:highlight w:val="none"/>
                <w:shd w:val="clear" w:fill="auto"/>
                <w:lang w:val="en-US" w:eastAsia="zh-CN"/>
              </w:rPr>
              <w:t>3</w:t>
            </w:r>
            <w:r>
              <w:rPr>
                <w:rFonts w:hint="eastAsia" w:ascii="仿宋_GB2312" w:hAnsi="仿宋_GB2312" w:eastAsia="仿宋_GB2312" w:cs="仿宋_GB2312"/>
                <w:b w:val="0"/>
                <w:i w:val="0"/>
                <w:caps w:val="0"/>
                <w:color w:val="auto"/>
                <w:spacing w:val="0"/>
                <w:sz w:val="32"/>
                <w:szCs w:val="32"/>
                <w:highlight w:val="none"/>
                <w:shd w:val="clear" w:fill="auto"/>
              </w:rPr>
              <w:t>篇、</w:t>
            </w:r>
            <w:r>
              <w:rPr>
                <w:rFonts w:hint="eastAsia" w:ascii="仿宋_GB2312" w:hAnsi="仿宋_GB2312" w:eastAsia="仿宋_GB2312" w:cs="仿宋_GB2312"/>
                <w:color w:val="auto"/>
                <w:sz w:val="32"/>
                <w:szCs w:val="32"/>
                <w:highlight w:val="none"/>
                <w:lang w:val="en-US" w:eastAsia="zh-CN"/>
              </w:rPr>
              <w:t>主编著作3部，主译著作1部，参编参译著作4部，拥有实用新型专利3项，软件著作1项。</w:t>
            </w:r>
          </w:p>
          <w:p>
            <w:pPr>
              <w:rPr>
                <w:rFonts w:hint="default"/>
                <w:vertAlign w:val="baseline"/>
                <w:lang w:val="en-US" w:eastAsia="zh-CN"/>
              </w:rPr>
            </w:pPr>
            <w:r>
              <w:rPr>
                <w:rFonts w:hint="eastAsia" w:ascii="仿宋_GB2312" w:hAnsi="仿宋_GB2312" w:eastAsia="仿宋_GB2312" w:cs="仿宋_GB2312"/>
                <w:color w:val="auto"/>
                <w:sz w:val="32"/>
                <w:szCs w:val="32"/>
                <w:highlight w:val="none"/>
                <w:lang w:val="en-US" w:eastAsia="zh-CN"/>
              </w:rPr>
              <w:t>2.教学情况：科室承担成都中医药大学、成都医学院、雅安职业技术学院等院校学生的规范化培训和实习工作、常年接收全省各地进修生，多次主办省市级继续教育培训班。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numPr>
                <w:ilvl w:val="0"/>
                <w:numId w:val="2"/>
              </w:numPr>
              <w:jc w:val="center"/>
              <w:rPr>
                <w:rFonts w:hint="eastAsia"/>
                <w:lang w:val="en-US" w:eastAsia="zh-CN"/>
              </w:rPr>
            </w:pPr>
            <w:r>
              <w:rPr>
                <w:rFonts w:hint="eastAsia"/>
                <w:lang w:val="en-US" w:eastAsia="zh-CN"/>
              </w:rPr>
              <w:t>妇科内分泌生理及性激素解读</w:t>
            </w:r>
          </w:p>
          <w:p>
            <w:pPr>
              <w:pStyle w:val="2"/>
              <w:numPr>
                <w:ilvl w:val="0"/>
                <w:numId w:val="2"/>
              </w:numPr>
              <w:rPr>
                <w:rFonts w:hint="default"/>
                <w:lang w:val="en-US" w:eastAsia="zh-CN"/>
              </w:rPr>
            </w:pPr>
            <w:r>
              <w:rPr>
                <w:rFonts w:hint="eastAsia"/>
                <w:lang w:val="en-US" w:eastAsia="zh-CN"/>
              </w:rPr>
              <w:t>多囊卵巢综合征诊疗规范</w:t>
            </w:r>
          </w:p>
          <w:p>
            <w:pPr>
              <w:pStyle w:val="2"/>
              <w:numPr>
                <w:ilvl w:val="0"/>
                <w:numId w:val="2"/>
              </w:numPr>
              <w:rPr>
                <w:rFonts w:hint="default"/>
                <w:lang w:val="en-US" w:eastAsia="zh-CN"/>
              </w:rPr>
            </w:pPr>
            <w:r>
              <w:rPr>
                <w:rFonts w:hint="eastAsia"/>
                <w:lang w:val="en-US" w:eastAsia="zh-CN"/>
              </w:rPr>
              <w:t>绝经综合征诊治指南解读</w:t>
            </w:r>
          </w:p>
          <w:p>
            <w:pPr>
              <w:pStyle w:val="2"/>
              <w:numPr>
                <w:ilvl w:val="0"/>
                <w:numId w:val="2"/>
              </w:numPr>
              <w:rPr>
                <w:rFonts w:hint="default"/>
                <w:lang w:val="en-US" w:eastAsia="zh-CN"/>
              </w:rPr>
            </w:pPr>
            <w:r>
              <w:rPr>
                <w:rFonts w:hint="eastAsia"/>
                <w:lang w:val="en-US" w:eastAsia="zh-CN"/>
              </w:rPr>
              <w:t>腹直肌修复治疗</w:t>
            </w:r>
          </w:p>
          <w:p>
            <w:pPr>
              <w:pStyle w:val="2"/>
              <w:numPr>
                <w:ilvl w:val="0"/>
                <w:numId w:val="2"/>
              </w:numPr>
              <w:rPr>
                <w:rFonts w:hint="default"/>
                <w:lang w:val="en-US" w:eastAsia="zh-CN"/>
              </w:rPr>
            </w:pPr>
            <w:r>
              <w:rPr>
                <w:rFonts w:hint="eastAsia"/>
                <w:lang w:val="en-US" w:eastAsia="zh-CN"/>
              </w:rPr>
              <w:t>盆底</w:t>
            </w:r>
            <w:bookmarkStart w:id="0" w:name="_GoBack"/>
            <w:bookmarkEnd w:id="0"/>
            <w:r>
              <w:rPr>
                <w:rFonts w:hint="eastAsia"/>
                <w:lang w:val="en-US" w:eastAsia="zh-CN"/>
              </w:rPr>
              <w:t>治疗方案选择</w:t>
            </w:r>
          </w:p>
          <w:p>
            <w:pPr>
              <w:pStyle w:val="2"/>
              <w:numPr>
                <w:ilvl w:val="0"/>
                <w:numId w:val="2"/>
              </w:numPr>
              <w:rPr>
                <w:rFonts w:hint="default"/>
                <w:lang w:val="en-US" w:eastAsia="zh-CN"/>
              </w:rPr>
            </w:pPr>
            <w:r>
              <w:rPr>
                <w:rFonts w:hint="eastAsia"/>
                <w:lang w:val="en-US" w:eastAsia="zh-CN"/>
              </w:rPr>
              <w:t>盆底肌筋膜松解</w:t>
            </w:r>
          </w:p>
          <w:p>
            <w:pPr>
              <w:pStyle w:val="2"/>
              <w:numPr>
                <w:ilvl w:val="0"/>
                <w:numId w:val="2"/>
              </w:numPr>
              <w:rPr>
                <w:rFonts w:hint="default"/>
                <w:lang w:val="en-US" w:eastAsia="zh-CN"/>
              </w:rPr>
            </w:pPr>
            <w:r>
              <w:rPr>
                <w:rFonts w:hint="eastAsia"/>
                <w:lang w:val="en-US" w:eastAsia="zh-CN"/>
              </w:rPr>
              <w:t>POP-Q分度</w:t>
            </w:r>
          </w:p>
        </w:tc>
        <w:tc>
          <w:tcPr>
            <w:tcW w:w="3459" w:type="dxa"/>
            <w:shd w:val="clear" w:color="auto" w:fill="auto"/>
            <w:vAlign w:val="center"/>
          </w:tcPr>
          <w:p>
            <w:pPr>
              <w:jc w:val="center"/>
              <w:rPr>
                <w:rFonts w:hint="eastAsia"/>
                <w:lang w:val="en-US" w:eastAsia="zh-CN"/>
              </w:rPr>
            </w:pPr>
            <w:r>
              <w:rPr>
                <w:rFonts w:hint="eastAsia"/>
                <w:lang w:val="en-US" w:eastAsia="zh-CN"/>
              </w:rPr>
              <w:t>通过基础知识讲解，由浅入深使学员掌握妇科内分泌生理及相关疾病诊治。并结合临床实际带教，进行门诊教学。</w:t>
            </w:r>
          </w:p>
          <w:p>
            <w:pPr>
              <w:pStyle w:val="2"/>
              <w:rPr>
                <w:rFonts w:hint="default"/>
                <w:lang w:val="en-US" w:eastAsia="zh-CN"/>
              </w:rPr>
            </w:pPr>
            <w:r>
              <w:rPr>
                <w:rFonts w:hint="eastAsia" w:cstheme="minorBidi"/>
                <w:b/>
                <w:bCs/>
                <w:kern w:val="2"/>
                <w:sz w:val="21"/>
                <w:szCs w:val="24"/>
                <w:lang w:val="en-US" w:eastAsia="zh-CN" w:bidi="ar-SA"/>
              </w:rPr>
              <w:t>盆底康复教学通过临床实践教学，配合理论教学，使学员掌握盆底及骨盆手法治疗原理及方法。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lang w:val="en-US" w:eastAsia="zh-CN"/>
              </w:rPr>
              <w:t>学员熟练掌握妇科内分泌相关知识并运用于临床；熟练掌握盆底治疗及骨盆手法治疗各种仪器、手法方法。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lang w:val="en-US" w:eastAsia="zh-CN"/>
              </w:rPr>
              <w:t>无</w:t>
            </w: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582FC7"/>
    <w:multiLevelType w:val="singleLevel"/>
    <w:tmpl w:val="BC582FC7"/>
    <w:lvl w:ilvl="0" w:tentative="0">
      <w:start w:val="1"/>
      <w:numFmt w:val="decimal"/>
      <w:lvlText w:val="%1."/>
      <w:lvlJc w:val="left"/>
      <w:pPr>
        <w:tabs>
          <w:tab w:val="left" w:pos="312"/>
        </w:tabs>
      </w:pPr>
    </w:lvl>
  </w:abstractNum>
  <w:abstractNum w:abstractNumId="1">
    <w:nsid w:val="E3C090E0"/>
    <w:multiLevelType w:val="singleLevel"/>
    <w:tmpl w:val="E3C090E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3C01B1"/>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章标题"/>
    <w:basedOn w:val="1"/>
    <w:next w:val="1"/>
    <w:qFormat/>
    <w:uiPriority w:val="0"/>
    <w:pPr>
      <w:spacing w:line="323" w:lineRule="atLeast"/>
      <w:ind w:right="-120"/>
      <w:jc w:val="center"/>
      <w:textAlignment w:val="baseline"/>
    </w:pPr>
    <w:rPr>
      <w:rFonts w:ascii="Times New Roman" w:hAnsi="Times New Roman"/>
      <w:color w:val="FF000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5</TotalTime>
  <ScaleCrop>false</ScaleCrop>
  <LinksUpToDate>false</LinksUpToDate>
  <CharactersWithSpaces>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骏肝儿</cp:lastModifiedBy>
  <dcterms:modified xsi:type="dcterms:W3CDTF">2025-11-16T03:29:03Z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